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064911"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064911"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064911"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沖縄県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064911"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064911"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064911"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4911"/>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44B0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C1D8-42A5-4FD1-8E44-9F0ECA99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2019-02-18T23:14:00Z</dcterms:modified>
</cp:coreProperties>
</file>